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037D" w:rsidRDefault="005E1F65">
      <w:pPr>
        <w:pStyle w:val="Titolo"/>
        <w:rPr>
          <w:rFonts w:ascii="Calibri" w:eastAsia="Calibri" w:hAnsi="Calibri" w:cs="Calibri"/>
          <w:i w:val="0"/>
          <w:sz w:val="40"/>
          <w:szCs w:val="40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i w:val="0"/>
          <w:sz w:val="40"/>
          <w:szCs w:val="40"/>
          <w:u w:val="single"/>
        </w:rPr>
        <w:t xml:space="preserve">Progetto di una Unità di Apprendimento </w:t>
      </w:r>
      <w:r>
        <w:rPr>
          <w:rFonts w:ascii="Calibri" w:eastAsia="Calibri" w:hAnsi="Calibri" w:cs="Calibri"/>
          <w:sz w:val="40"/>
          <w:szCs w:val="40"/>
          <w:u w:val="single"/>
        </w:rPr>
        <w:t>Flipped</w:t>
      </w:r>
    </w:p>
    <w:p w:rsidR="0057037D" w:rsidRDefault="0057037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7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DB3E2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Dati dell’Unità di Apprendimento</w:t>
            </w:r>
          </w:p>
        </w:tc>
      </w:tr>
      <w:tr w:rsidR="0057037D">
        <w:tc>
          <w:tcPr>
            <w:tcW w:w="10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Titolo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Chi vorrebbe una “patente da jettatore”?</w:t>
            </w:r>
          </w:p>
          <w:p w:rsidR="0057037D" w:rsidRDefault="005E1F6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Scuola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Secondaria di I grado</w:t>
            </w:r>
          </w:p>
          <w:p w:rsidR="0057037D" w:rsidRDefault="005E1F6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Materia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Italiano</w:t>
            </w:r>
          </w:p>
          <w:p w:rsidR="0057037D" w:rsidRDefault="005E1F6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Classe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Terza</w:t>
            </w:r>
          </w:p>
        </w:tc>
      </w:tr>
    </w:tbl>
    <w:p w:rsidR="0057037D" w:rsidRDefault="0057037D">
      <w:pPr>
        <w:spacing w:after="6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772" w:type="dxa"/>
        <w:tblInd w:w="-2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shd w:val="clear" w:color="auto" w:fill="9BBB59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Argomento curricolare:</w:t>
            </w:r>
          </w:p>
        </w:tc>
      </w:tr>
      <w:tr w:rsidR="0057037D">
        <w:tc>
          <w:tcPr>
            <w:tcW w:w="10772" w:type="dxa"/>
            <w:shd w:val="clear" w:color="auto" w:fill="auto"/>
          </w:tcPr>
          <w:p w:rsidR="0057037D" w:rsidRDefault="0057037D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Letteratura italiana: novella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“ La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patente” di Luigi Pirandello (1911)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) (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7037D" w:rsidRDefault="0057037D">
      <w:pPr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tbl>
      <w:tblPr>
        <w:tblStyle w:val="a1"/>
        <w:tblW w:w="107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8064A2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La Sfida. Come si attiva l’interesse e la motivazione degli allievi:</w:t>
            </w:r>
          </w:p>
        </w:tc>
      </w:tr>
      <w:tr w:rsidR="0057037D">
        <w:tc>
          <w:tcPr>
            <w:tcW w:w="107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potrebbe aprirsi con una indagine preliminare, presso gli studenti, sulle loro credenze rispetto alla “sfortuna”. 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novella pirandelliana che si andrà a leggere, infatti, tocca questo tema, e potrebbe essere interessante stimolare la curiosità dei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ragazzi con una discussione preliminare su questo ambito, che sicuramente sentono come molto personale e su cui tutti possono esprimersi.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Tramite veloci sondaggi (condotti tramite “Google Moduli”, “GoSoapBox.com”, altre piattaforme, oppure attraverso alza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 di mano o trascrizione delle opinioni su post-it) si sonda quindi preliminarmente quali siano le idee degli allievi in merito a ciò che, per abitudine/costume, si considera “di buon augurio” o, al contrario, “di cattivo auspicio”.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1) Si sottopongono 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izialmente alcune immagini di oggetti scaramantici (corna, ferro di cavallo, ecc.) e si chiede ai ragazzi a che cosa servono, a che cosa le associano;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12065</wp:posOffset>
                  </wp:positionV>
                  <wp:extent cx="1987550" cy="1987550"/>
                  <wp:effectExtent l="0" t="0" r="0" b="0"/>
                  <wp:wrapSquare wrapText="bothSides" distT="0" distB="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1987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2) Si chiede se oggetti simili, a loro parere, portino davvero fortuna, e se esistano altri elementi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 invece portano sfortuna/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jella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(ad es. passare sotto una scala rompere uno specchio, il gatto nero che attraversa la strada…)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3) Si domanda quindi se esistano, a loro parere, individui che “portano sfortuna”, che “gettino il malocchio”, che siano, insom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ma, degli “jettatori”.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attività facoltativa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] 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questo punto – se il tempo lo permette e se si crede che possa essere utile – si potrebbe far conoscere ai ragazzi le vicende di alcuni cantanti che forse conoscono. Si tratta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Arisa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Marco Masini (olt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 che Mia Martini), che sono stati fatti oggetto di una pesante campagna di ostilità e rifiuto (da parte dei media e degli ambienti artistici) sulla base, appunto, della credenza che portassero sfortuna. A tale riguardo, è possibile (magari alla LIM):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eggere un interessante articolo a questo indirizzo: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http://www.donnamoderna.com/news/people-news/arisa-e-quei-cantanti-accusati-di-portare-sfiga</w:t>
              </w:r>
            </w:hyperlink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guardare il filmato YouTube in cui Celentano intervista Masini: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https://www.youtube.com/watch?v=8pjyQm10cNE</w:t>
              </w:r>
            </w:hyperlink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Questa tematica potrebbe essere ripresa al termine dell’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tramite un compito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utentico, in quanto offre uno spunto interessante per approfondire il tema del “cyberbullismo”. Come agli artisti menzionati, infatti, anche a qualcuno di loro potrebbe capitare di essere preso di mira da voci negative e commenti insultanti. I social, in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articolare, offrono oggi a chi vuol “ferire” qualcuno l’opportunità  di farlo in modo così efficace e “virale” che - anche nell’ottica sia delle competenze europee di Cittadinanza che di un uso consapevole delle tecnologie - si può cogliere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l’opportunità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sensibilizzare i ragazzi su tale argomento.</w:t>
            </w:r>
          </w:p>
        </w:tc>
      </w:tr>
    </w:tbl>
    <w:p w:rsidR="0057037D" w:rsidRDefault="0057037D">
      <w:pPr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tbl>
      <w:tblPr>
        <w:tblStyle w:val="a2"/>
        <w:tblW w:w="107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79646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Lancio della Sfida. Quali attività si svolgono prima o in apertura della lezione:</w:t>
            </w:r>
          </w:p>
        </w:tc>
      </w:tr>
      <w:tr w:rsidR="0057037D">
        <w:tc>
          <w:tcPr>
            <w:tcW w:w="107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questo punto, si pone ai ragazzi la “domanda chiave” per centrare il tema della novella pirandelliana: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“Chi vorrebbe una “patente” da jettatore?”.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Dopo aver raccolto le varie opinioni dei ragazzi che desiderano rispondere, si sottopone alla classe la visione del breve video (presente su YouTube: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https://www.youtube.com/watch?v=oAxUCyWTrCc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 preso dall’episodio di 8’ con Totò “La patente” (oppure dell’intero episodio di 15’ diretto da Luigi Zampa, tratto dal film “Questa è la vita”, 1954).</w:t>
            </w:r>
          </w:p>
          <w:p w:rsidR="0057037D" w:rsidRDefault="0057037D">
            <w:pPr>
              <w:ind w:left="769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non è presente nel loro libro di testo di Letteratura,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chiede quindi ai ragazzi di cercare in internet il testo della novella di Pirandello da cui è stato tratto il filmato (ne sono disponibili, tra le altre, una versione annotata sul sito “</w:t>
            </w:r>
            <w:proofErr w:type="spellStart"/>
            <w:r>
              <w:fldChar w:fldCharType="begin"/>
            </w:r>
            <w:r>
              <w:instrText xml:space="preserve"> HYPERLINK "http://www.mondadorieducation.it/risorse/media/secon</w:instrText>
            </w:r>
            <w:r>
              <w:instrText xml:space="preserve">daria_primo/italiano/giallo_rosso_blu3_laf/testi_audio_sfo/patente/patente_1.pdf"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mondadorieducation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” e una senza note su “</w:t>
            </w:r>
            <w:proofErr w:type="spellStart"/>
            <w:r>
              <w:fldChar w:fldCharType="begin"/>
            </w:r>
            <w:r>
              <w:instrText xml:space="preserve"> HYPERLINK "https://www.liberliber.it/online/autori/autori-p/luigi-pirandello/novelle-per-un-anno/"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liberliber</w:t>
            </w:r>
            <w:proofErr w:type="spell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”), dopodiché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fanno delle fotocopie.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7037D" w:rsidRDefault="0057037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772" w:type="dxa"/>
        <w:tblInd w:w="-20" w:type="dxa"/>
        <w:tblBorders>
          <w:top w:val="single" w:sz="8" w:space="0" w:color="403152"/>
          <w:left w:val="single" w:sz="8" w:space="0" w:color="403152"/>
          <w:bottom w:val="single" w:sz="8" w:space="0" w:color="403152"/>
          <w:right w:val="single" w:sz="8" w:space="0" w:color="403152"/>
          <w:insideH w:val="single" w:sz="8" w:space="0" w:color="403152"/>
          <w:insideV w:val="single" w:sz="8" w:space="0" w:color="403152"/>
        </w:tblBorders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shd w:val="clear" w:color="auto" w:fill="4BACC6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Condurre la sfida. Quali attività si svolgono per rispondere alla sfida:</w:t>
            </w:r>
          </w:p>
        </w:tc>
      </w:tr>
      <w:tr w:rsidR="0057037D">
        <w:tc>
          <w:tcPr>
            <w:tcW w:w="10772" w:type="dxa"/>
            <w:shd w:val="clear" w:color="auto" w:fill="auto"/>
          </w:tcPr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divide la classe in piccoli gruppi (possibilmente da tre) e si fornisce a ogni gruppo una copia della novella.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legge quindi insieme, integralmente, il testo, senza soffermarsi tanto sulla 1° parte, quanto sulla 2°, nella quale il personaggio di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Chiàrchiaro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(lo jettatore) è predominante.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Impiegando la strategia del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Think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-Share”, si chiede a ogni gruppo 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operare una ricerca nel testo di: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tutti i termini che si riferiscono ad oggetti scaramantici 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tutte le espressioni che caratterizzano lo iettatore 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le voci popolari che hanno creato la fama dello iettatore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le espressioni che indicano in che modo il protagonista userebbe la “patente”.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Ogni membro del gruppo avrà modo di operare la sua ricerca, confrontandosi poi con gli altri membri per arrivare a un’analisi quanto più completa del testo.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 termine dell’attività (che prevedere, per il docente, un ruolo da “guide on the side”, per cui passa da gruppo a gruppo rispondendo a eventuali dubbi e osservando come i ragazzi si confrontano, in modo da valutarne le competenze socio relazionali - tram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ite una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-list o un’applicazione come “</w:t>
            </w:r>
            <w:proofErr w:type="spellStart"/>
            <w:r>
              <w:fldChar w:fldCharType="begin"/>
            </w:r>
            <w:r>
              <w:instrText xml:space="preserve"> HYPERLINK "https://www.classdojo.com/it-it/"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ClassDojo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”), viene chiesto a 3 o 4 ragazzi di gruppi diversi di condividere con tutta la classe i risultati cui sono giunti.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questo punto l’insegnante può int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rodurre, se già non è stato fatto in precedenza, o sintetizzare alcune basi della poetica pirandelliana: il dramma tipicamente novecentesco di un ”io” scisso e privato della sua identità, che, per esistere, è costretto ad assumere la “maschera” che gli alt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proiettano su di lui; l’umorismo e il pessimismo di fondo della visione del mondo di Pirandello; le varie sfaccettature della personalità umana e la ambigua libertà che ci deriva dall’assumere un travestimento sociale di fronte agli altri.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Tramite la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odalità del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Guided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Reciprocal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Peer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Questioning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”, e alla luce di quanto esposto, si invitano quindi gli studenti a formulare due o tre domande che cerchino di esplicitare il messaggio dell’autore presente nella novella. L’insegnante fornirà alcuni esempi,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invitando gli studenti a concentrarsi, in particolare, sul monito che Pirandello vuole darci, facendoci riflettere su come la visione che gli altri hanno di noi può condizionare - anche molto pesantemente - la nostra esistenza.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a questo punto che, dopo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una condivisione delle varie domande/risposte, si cercherà insieme di rispondere in modo coerente all’interrogativo da cui è partita la “sfida”: “Perché qualcuno dovrebbe desiderare di ottenere una “patente” da jettatore?”.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7037D" w:rsidRDefault="0057037D">
      <w:pPr>
        <w:rPr>
          <w:rFonts w:ascii="Calibri" w:eastAsia="Calibri" w:hAnsi="Calibri" w:cs="Calibri"/>
          <w:b/>
          <w:color w:val="FFFFFF"/>
          <w:sz w:val="22"/>
          <w:szCs w:val="22"/>
        </w:rPr>
      </w:pPr>
    </w:p>
    <w:tbl>
      <w:tblPr>
        <w:tblStyle w:val="a4"/>
        <w:tblW w:w="10772" w:type="dxa"/>
        <w:tblInd w:w="-20" w:type="dxa"/>
        <w:tblBorders>
          <w:top w:val="single" w:sz="8" w:space="0" w:color="632423"/>
          <w:left w:val="single" w:sz="8" w:space="0" w:color="632423"/>
          <w:bottom w:val="single" w:sz="8" w:space="0" w:color="632423"/>
          <w:right w:val="single" w:sz="8" w:space="0" w:color="632423"/>
          <w:insideH w:val="single" w:sz="8" w:space="0" w:color="632423"/>
          <w:insideV w:val="single" w:sz="8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shd w:val="clear" w:color="auto" w:fill="C0504D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Chiusura della sfida. Quali a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ttività di verifica degli apprendimenti concludono l’attività didattica:</w:t>
            </w:r>
          </w:p>
        </w:tc>
      </w:tr>
      <w:tr w:rsidR="0057037D">
        <w:tc>
          <w:tcPr>
            <w:tcW w:w="10772" w:type="dxa"/>
            <w:shd w:val="clear" w:color="auto" w:fill="auto"/>
          </w:tcPr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Tutte le fasi di lavoro elencate nella sezione “Condurre la sfida” saranno valutate dal docente tramite una “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check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-list” appositamente studiata (sul modello di quella proposta, con pochi ma significativi indicatori), che concorrerà a definire la valutazion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finale (oppure, nel caso sia possibile, tramite un’applicazione come “</w:t>
            </w:r>
            <w:proofErr w:type="spellStart"/>
            <w:r>
              <w:fldChar w:fldCharType="begin"/>
            </w:r>
            <w:r>
              <w:instrText xml:space="preserve"> HYPERLINK "https://www.classdojo.com/it-it/"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ClassDojo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”).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 di là di possibili prove strutturate e sommative “tradizionali” (che potrebbero vertere sullo specifico contenuto 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 novella analizzata, ma, come si è visto, sondando soltanto conoscenze di superficie e non consentendo una personale rielaborazione dei contenuti), è  il caso di impiegare delle rubriche di valutazione atte a valutare, in un’ottica formativa, sia come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sono svolti i rapporti socio-relazionali tra pari, sia la qualità del prodotto finale che gli allievi andranno, questa volta individualmente, a produrre. 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Alla fine dell’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prevede infatti, per ciascun allievo, un compito autentico di scrittura cons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istente in una email indirizzata a un compagno che, in modo analogo a quanto accade al personaggio della novella, sia ipoteticamente preso di mira da un gruppo di altri studenti, e sia stato pertanto socialmente emarginato. Agli studenti sarà chiesto di fo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rnire a tale compagno fittizio i propri consigli su come capire e affrontare al meglio il problema, mettendo così in campo le competenze maturate durante l’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studenti possono inviare i propri testi in un documento condiviso all’interno di una “carte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lla del Team” di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Google Drive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, oppure sulla piattaforma “</w:t>
            </w:r>
            <w:proofErr w:type="spellStart"/>
            <w:r>
              <w:fldChar w:fldCharType="begin"/>
            </w:r>
            <w:r>
              <w:instrText xml:space="preserve"> HYPERLINK "http://peergrade.io" \h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t>PeerGrade</w:t>
            </w:r>
            <w:proofErr w:type="spellEnd"/>
            <w:r>
              <w:rPr>
                <w:rFonts w:ascii="Calibri" w:eastAsia="Calibri" w:hAnsi="Calibri" w:cs="Calibri"/>
                <w:color w:val="1155CC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>”, in modo da mantenere anonimi gli interventi e consentire poi una valutazione fra pari, basata su 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rubrica condivisa fra tutti.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medesimo prodotto, inviato questa volta con l’indicazione dell’autore, verrà valutato anche dal docente sulla base di una diversa rubrica, che consideri prevalentemente le competenze linguistiche e la qualità dei rimandi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dei richiami al testo di letteratura affrontato a lezione.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7037D" w:rsidRDefault="0057037D">
      <w:pPr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tbl>
      <w:tblPr>
        <w:tblStyle w:val="a5"/>
        <w:tblW w:w="10772" w:type="dxa"/>
        <w:tblInd w:w="-20" w:type="dxa"/>
        <w:tblBorders>
          <w:top w:val="single" w:sz="8" w:space="0" w:color="632423"/>
          <w:left w:val="single" w:sz="8" w:space="0" w:color="632423"/>
          <w:bottom w:val="single" w:sz="8" w:space="0" w:color="632423"/>
          <w:right w:val="single" w:sz="8" w:space="0" w:color="632423"/>
          <w:insideH w:val="single" w:sz="8" w:space="0" w:color="632423"/>
          <w:insideV w:val="single" w:sz="8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10772"/>
      </w:tblGrid>
      <w:tr w:rsidR="0057037D">
        <w:tc>
          <w:tcPr>
            <w:tcW w:w="10772" w:type="dxa"/>
            <w:shd w:val="clear" w:color="auto" w:fill="9BBB59"/>
          </w:tcPr>
          <w:p w:rsidR="0057037D" w:rsidRDefault="005E1F65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 che modo l’approccio proposto differisce da quello tradizionale?</w:t>
            </w:r>
          </w:p>
        </w:tc>
      </w:tr>
      <w:tr w:rsidR="0057037D">
        <w:tc>
          <w:tcPr>
            <w:tcW w:w="10772" w:type="dxa"/>
            <w:shd w:val="clear" w:color="auto" w:fill="auto"/>
          </w:tcPr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L’attività proposta risulta sicuramente più stimolante rispetto a un approccio “tradizionale”, sia per il tema affrontato (che è in grado di sollecitare l’intervento e le preconoscenze di tutti gli allievi), sia per la modalità di fruizione dei contenuti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condivisione dei risultati. L’impiego di modalità di lavoro cooperative e l’uso degli strumenti digitali sono in grado infatti di favorire sia la motivazione intrinseca che l’acquisizione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  competenze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digitali.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Tramite un lavoro di questo tipo, tutt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gli allievi dovrebbero sentirsi incoraggiati a produrre riflessioni personali e ad affinare, grazie al confronto con i pari, il proprio punto di vista, e contemporaneamente vedere come i testi “classici” della Letteratura (come quello affrontato) siano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grado di parlare agli uomini di ogni tempo, al di là dei diversi contesti socio-economici e politico-culturali. </w:t>
            </w:r>
          </w:p>
          <w:p w:rsidR="0057037D" w:rsidRDefault="0057037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7037D" w:rsidRDefault="005E1F6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Questo tipo di lavoro inoltre, molto più rispetto alle lezioni frontali, permette di sviluppare le capacità socio-relazionali ed altre compe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tenze chiave raccomandate dal Parlamento Europeo in merito all’apprendimento permanente: 1. comunicazione nella madrelingua; 4. competenza digitale; 5. imparare a imparare; 6. competenze sociali e civiche.</w:t>
            </w:r>
          </w:p>
        </w:tc>
      </w:tr>
    </w:tbl>
    <w:p w:rsidR="0057037D" w:rsidRDefault="0057037D">
      <w:pPr>
        <w:rPr>
          <w:rFonts w:ascii="Calibri" w:eastAsia="Calibri" w:hAnsi="Calibri" w:cs="Calibri"/>
          <w:sz w:val="22"/>
          <w:szCs w:val="22"/>
          <w:shd w:val="clear" w:color="auto" w:fill="EEECE1"/>
        </w:rPr>
      </w:pPr>
    </w:p>
    <w:sectPr w:rsidR="00570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6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65" w:rsidRDefault="005E1F65">
      <w:r>
        <w:separator/>
      </w:r>
    </w:p>
  </w:endnote>
  <w:endnote w:type="continuationSeparator" w:id="0">
    <w:p w:rsidR="005E1F65" w:rsidRDefault="005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B" w:rsidRDefault="003744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7D" w:rsidRDefault="0057037D">
    <w:pPr>
      <w:tabs>
        <w:tab w:val="center" w:pos="4819"/>
        <w:tab w:val="right" w:pos="9638"/>
      </w:tabs>
      <w:jc w:val="center"/>
    </w:pPr>
  </w:p>
  <w:p w:rsidR="0057037D" w:rsidRDefault="0057037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B" w:rsidRDefault="003744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65" w:rsidRDefault="005E1F65">
      <w:r>
        <w:separator/>
      </w:r>
    </w:p>
  </w:footnote>
  <w:footnote w:type="continuationSeparator" w:id="0">
    <w:p w:rsidR="005E1F65" w:rsidRDefault="005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B" w:rsidRDefault="00374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B" w:rsidRDefault="0037444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4B" w:rsidRDefault="003744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37D"/>
    <w:rsid w:val="0037444B"/>
    <w:rsid w:val="0057037D"/>
    <w:rsid w:val="005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ind w:left="432" w:hanging="432"/>
      <w:jc w:val="center"/>
      <w:outlineLvl w:val="0"/>
    </w:pPr>
    <w:rPr>
      <w:b/>
      <w:sz w:val="16"/>
      <w:szCs w:val="16"/>
    </w:rPr>
  </w:style>
  <w:style w:type="paragraph" w:styleId="Titolo2">
    <w:name w:val="heading 2"/>
    <w:basedOn w:val="Normale"/>
    <w:next w:val="Normale"/>
    <w:pPr>
      <w:keepNext/>
      <w:ind w:right="-1134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744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44B"/>
  </w:style>
  <w:style w:type="paragraph" w:styleId="Pidipagina">
    <w:name w:val="footer"/>
    <w:basedOn w:val="Normale"/>
    <w:link w:val="PidipaginaCarattere"/>
    <w:uiPriority w:val="99"/>
    <w:unhideWhenUsed/>
    <w:rsid w:val="003744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pjyQm10cN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namoderna.com/news/people-news/arisa-e-quei-cantanti-accusati-di-portare-sfig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m/driv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AxUCyWTrC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2017-12-08T10:56:00Z</dcterms:created>
  <dcterms:modified xsi:type="dcterms:W3CDTF">2017-12-08T10:56:00Z</dcterms:modified>
</cp:coreProperties>
</file>