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12A9" w:rsidRDefault="00D664C2">
      <w:pPr>
        <w:pStyle w:val="Titolo"/>
        <w:rPr>
          <w:rFonts w:ascii="Calibri" w:eastAsia="Calibri" w:hAnsi="Calibri" w:cs="Calibri"/>
          <w:i w:val="0"/>
          <w:sz w:val="40"/>
          <w:szCs w:val="40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 w:val="0"/>
          <w:sz w:val="40"/>
          <w:szCs w:val="40"/>
          <w:u w:val="single"/>
        </w:rPr>
        <w:t xml:space="preserve">Progetto di una Unità di Apprendimento </w:t>
      </w:r>
      <w:proofErr w:type="spellStart"/>
      <w:r>
        <w:rPr>
          <w:rFonts w:ascii="Calibri" w:eastAsia="Calibri" w:hAnsi="Calibri" w:cs="Calibri"/>
          <w:i w:val="0"/>
          <w:sz w:val="40"/>
          <w:szCs w:val="40"/>
          <w:u w:val="single"/>
        </w:rPr>
        <w:t>F</w:t>
      </w:r>
      <w:r>
        <w:rPr>
          <w:rFonts w:ascii="Calibri" w:eastAsia="Calibri" w:hAnsi="Calibri" w:cs="Calibri"/>
          <w:sz w:val="40"/>
          <w:szCs w:val="40"/>
          <w:u w:val="single"/>
        </w:rPr>
        <w:t>lipped</w:t>
      </w:r>
      <w:proofErr w:type="spellEnd"/>
    </w:p>
    <w:p w:rsidR="00B012A9" w:rsidRDefault="00B012A9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772" w:type="dxa"/>
        <w:tblInd w:w="-135" w:type="dxa"/>
        <w:tblLayout w:type="fixed"/>
        <w:tblLook w:val="0000"/>
      </w:tblPr>
      <w:tblGrid>
        <w:gridCol w:w="10772"/>
      </w:tblGrid>
      <w:tr w:rsidR="00B012A9">
        <w:tc>
          <w:tcPr>
            <w:tcW w:w="1077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DB3E2"/>
          </w:tcPr>
          <w:p w:rsidR="00B012A9" w:rsidRDefault="00D664C2">
            <w:pPr>
              <w:pStyle w:val="normal"/>
              <w:spacing w:after="6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Dati dell’Unità di Apprendimento</w:t>
            </w:r>
          </w:p>
        </w:tc>
      </w:tr>
      <w:tr w:rsidR="00B012A9">
        <w:tc>
          <w:tcPr>
            <w:tcW w:w="10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Titolo: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 buon sovrano</w:t>
            </w:r>
          </w:p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Scuola: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Primo Grado</w:t>
            </w:r>
          </w:p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Letteratura</w:t>
            </w:r>
          </w:p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after="6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Classe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seconda</w:t>
            </w:r>
          </w:p>
        </w:tc>
      </w:tr>
    </w:tbl>
    <w:p w:rsidR="00B012A9" w:rsidRDefault="00B012A9">
      <w:pPr>
        <w:pStyle w:val="normal"/>
        <w:spacing w:after="6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772" w:type="dxa"/>
        <w:tblInd w:w="-135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ayout w:type="fixed"/>
        <w:tblLook w:val="0000"/>
      </w:tblPr>
      <w:tblGrid>
        <w:gridCol w:w="10772"/>
      </w:tblGrid>
      <w:tr w:rsidR="00B012A9">
        <w:tc>
          <w:tcPr>
            <w:tcW w:w="10772" w:type="dxa"/>
            <w:shd w:val="clear" w:color="auto" w:fill="9BBB59"/>
          </w:tcPr>
          <w:p w:rsidR="00B012A9" w:rsidRDefault="00D664C2">
            <w:pPr>
              <w:pStyle w:val="normal"/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Argomento curricolare:</w:t>
            </w:r>
          </w:p>
          <w:p w:rsidR="00B012A9" w:rsidRDefault="00D664C2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 xml:space="preserve">(indicare l’argomento curricolare che si vuole affrontare con approccio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flipped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, esempi: la struttura particellare  della materia, , il Congresso di Vienna, le equazioni lineari,  ecc.)</w:t>
            </w:r>
          </w:p>
        </w:tc>
      </w:tr>
      <w:tr w:rsidR="00B012A9">
        <w:tc>
          <w:tcPr>
            <w:tcW w:w="10772" w:type="dxa"/>
            <w:shd w:val="clear" w:color="auto" w:fill="FFFFFF"/>
          </w:tcPr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Niccolò Machiavelli e Il Principe</w:t>
            </w:r>
          </w:p>
          <w:p w:rsidR="00B012A9" w:rsidRDefault="00B012A9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012A9" w:rsidRDefault="00B012A9">
      <w:pPr>
        <w:pStyle w:val="normal"/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tbl>
      <w:tblPr>
        <w:tblStyle w:val="a1"/>
        <w:tblW w:w="10772" w:type="dxa"/>
        <w:tblInd w:w="-135" w:type="dxa"/>
        <w:tblLayout w:type="fixed"/>
        <w:tblLook w:val="0000"/>
      </w:tblPr>
      <w:tblGrid>
        <w:gridCol w:w="10772"/>
      </w:tblGrid>
      <w:tr w:rsidR="00B012A9">
        <w:tc>
          <w:tcPr>
            <w:tcW w:w="1077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064A2"/>
          </w:tcPr>
          <w:p w:rsidR="00B012A9" w:rsidRDefault="00D664C2">
            <w:pPr>
              <w:pStyle w:val="normal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La Sfida. Come si attiva l’interesse e la motivazione degli allievi:</w:t>
            </w:r>
          </w:p>
          <w:p w:rsidR="00B012A9" w:rsidRDefault="00D664C2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(indicare come si intende stimolare l’interesse, la curiosità e coinvolgere gli allievi in modo da renderli parte attiva nella costruzione delle conoscenze indicate. Tipicamente ciò avvie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ne lanciando una sfida che può consistere nel porre una domanda a cui rispondere, un problema da risolvere, una ricerca da effettuare, un caso da analizzare in modo coinvolgente e motivante.)</w:t>
            </w:r>
          </w:p>
        </w:tc>
      </w:tr>
      <w:tr w:rsidR="00B012A9">
        <w:tc>
          <w:tcPr>
            <w:tcW w:w="10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sfida consisterà nel definire quale sia il modo migliore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governare di un buon sovrano. Si proporrà la lettura in classe del brano "Le qualità del principe"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N.Machiavelli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quale sarà dato successivamente uno schema semplificato per facilitarne la comprensione.</w:t>
            </w:r>
          </w:p>
        </w:tc>
      </w:tr>
    </w:tbl>
    <w:p w:rsidR="00B012A9" w:rsidRDefault="00B012A9">
      <w:pPr>
        <w:pStyle w:val="normal"/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tbl>
      <w:tblPr>
        <w:tblStyle w:val="a2"/>
        <w:tblW w:w="10772" w:type="dxa"/>
        <w:tblInd w:w="-135" w:type="dxa"/>
        <w:tblLayout w:type="fixed"/>
        <w:tblLook w:val="0000"/>
      </w:tblPr>
      <w:tblGrid>
        <w:gridCol w:w="10772"/>
      </w:tblGrid>
      <w:tr w:rsidR="00B012A9">
        <w:tc>
          <w:tcPr>
            <w:tcW w:w="10772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F79646"/>
          </w:tcPr>
          <w:p w:rsidR="00B012A9" w:rsidRDefault="00D664C2">
            <w:pPr>
              <w:pStyle w:val="normal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Lancio della Sfida. Quali attività si svolgono prima o in apertura della lezione:</w:t>
            </w:r>
          </w:p>
          <w:p w:rsidR="00B012A9" w:rsidRDefault="00D664C2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(indicare se l’azione didattica proposta prevede attività preparatorie da svolgere prima della lezione d’aula. Ed esempio fruizione di risorse didattiche che costituiscano un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 xml:space="preserve"> quadro di riferimento, richiamino preconoscenze, attivino la curiosità oppure attività di verifica delle conoscenze già affrontate per mettere meglio a punto l’azione in classe. Indicare le risorse digitali eventualmente utilizzate quali LMS, video, prese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ntazioni multimediali, testi...)</w:t>
            </w:r>
          </w:p>
        </w:tc>
      </w:tr>
      <w:tr w:rsidR="00B012A9">
        <w:tc>
          <w:tcPr>
            <w:tcW w:w="107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collegamento con il programma di storia della classe seconda, si proporrà lo studio della vita di Machiavelli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Per favorirne una collocazione temporale e spaziale si proporrà la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visione di un filmato al seguente link: </w:t>
            </w:r>
            <w:hyperlink r:id="rId6">
              <w:r>
                <w:rPr>
                  <w:rFonts w:ascii="Calibri" w:eastAsia="Calibri" w:hAnsi="Calibri" w:cs="Calibri"/>
                  <w:sz w:val="22"/>
                  <w:szCs w:val="22"/>
                  <w:u w:val="single"/>
                </w:rPr>
                <w:t>https://m.youtube.com/watch?v=NHICjpIFLFA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darà qualche input sull'autore e il suo pensiero.</w:t>
            </w:r>
          </w:p>
        </w:tc>
      </w:tr>
    </w:tbl>
    <w:p w:rsidR="00B012A9" w:rsidRDefault="00B012A9">
      <w:pPr>
        <w:pStyle w:val="normal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772" w:type="dxa"/>
        <w:tblInd w:w="-135" w:type="dxa"/>
        <w:tblBorders>
          <w:top w:val="single" w:sz="8" w:space="0" w:color="403152"/>
          <w:left w:val="single" w:sz="8" w:space="0" w:color="403152"/>
          <w:bottom w:val="single" w:sz="8" w:space="0" w:color="403152"/>
          <w:right w:val="single" w:sz="8" w:space="0" w:color="403152"/>
          <w:insideH w:val="single" w:sz="8" w:space="0" w:color="403152"/>
          <w:insideV w:val="single" w:sz="8" w:space="0" w:color="403152"/>
        </w:tblBorders>
        <w:tblLayout w:type="fixed"/>
        <w:tblLook w:val="0000"/>
      </w:tblPr>
      <w:tblGrid>
        <w:gridCol w:w="10772"/>
      </w:tblGrid>
      <w:tr w:rsidR="00B012A9">
        <w:tc>
          <w:tcPr>
            <w:tcW w:w="10772" w:type="dxa"/>
            <w:shd w:val="clear" w:color="auto" w:fill="4BACC6"/>
          </w:tcPr>
          <w:p w:rsidR="00B012A9" w:rsidRDefault="00D664C2">
            <w:pPr>
              <w:pStyle w:val="normal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Condurre la sfida. Quali attività si svolgono per rispondere alla sfida:</w:t>
            </w:r>
          </w:p>
          <w:p w:rsidR="00B012A9" w:rsidRDefault="00D664C2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 xml:space="preserve">(indicare le metodologie didattiche che si intendono utilizzare in classe: lezione dialogata, lavoro di gruppo, apprendimento fra pari, studio individuale per consentire agli allievi 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di rispondere alla sfida proposta e costruire attivamente le conoscenze richieste, indicando anche diverse metodologie e più fasi successive.)</w:t>
            </w:r>
          </w:p>
        </w:tc>
      </w:tr>
      <w:tr w:rsidR="00B012A9">
        <w:tc>
          <w:tcPr>
            <w:tcW w:w="10772" w:type="dxa"/>
            <w:tcBorders>
              <w:top w:val="single" w:sz="8" w:space="0" w:color="403152"/>
              <w:left w:val="single" w:sz="8" w:space="0" w:color="403152"/>
              <w:bottom w:val="single" w:sz="8" w:space="0" w:color="403152"/>
              <w:right w:val="single" w:sz="8" w:space="0" w:color="4031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 affrontare questa sfida i ragazzi potranno contare sulle conoscenze acquisite con lo studio in storia dell'I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lluminismo e dei suoi ideali, della suddivisione del potere politico proposto 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Montesquieu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del concetto di dispotismo illuminato proposto da Voltaire.</w:t>
            </w:r>
          </w:p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ragazzi saranno divisi in cinque squadre ( tre gruppi da 4 alunni e due gruppi da 5). Tre dovranno difendere la tesi del principe che opera secondo le leggi e gli altri due la tesi di chi opera secondo la forza. Dopo un rapido richiamo attraverso qualche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domanda generica posta dall'insegnante, i ragazzi lavoreranno in classe col proprio gruppo per sviluppare il tipo di governo assegnato. </w:t>
            </w:r>
          </w:p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volta successiva, dopo avere dato il tempo di rivedere insieme il lavoro svolto, i gruppi saranno chiamati a confro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ntarsi realizzando un dibattito argomentativo.</w:t>
            </w:r>
          </w:p>
        </w:tc>
      </w:tr>
    </w:tbl>
    <w:p w:rsidR="00B012A9" w:rsidRDefault="00B012A9">
      <w:pPr>
        <w:pStyle w:val="normal"/>
        <w:rPr>
          <w:rFonts w:ascii="Calibri" w:eastAsia="Calibri" w:hAnsi="Calibri" w:cs="Calibri"/>
          <w:b/>
          <w:color w:val="FFFFFF"/>
          <w:sz w:val="22"/>
          <w:szCs w:val="22"/>
        </w:rPr>
      </w:pPr>
    </w:p>
    <w:tbl>
      <w:tblPr>
        <w:tblStyle w:val="a4"/>
        <w:tblW w:w="10772" w:type="dxa"/>
        <w:tblInd w:w="-135" w:type="dxa"/>
        <w:tblBorders>
          <w:top w:val="single" w:sz="8" w:space="0" w:color="632423"/>
          <w:left w:val="single" w:sz="8" w:space="0" w:color="632423"/>
          <w:bottom w:val="single" w:sz="8" w:space="0" w:color="632423"/>
          <w:right w:val="single" w:sz="8" w:space="0" w:color="632423"/>
          <w:insideH w:val="single" w:sz="8" w:space="0" w:color="632423"/>
          <w:insideV w:val="single" w:sz="8" w:space="0" w:color="632423"/>
        </w:tblBorders>
        <w:tblLayout w:type="fixed"/>
        <w:tblLook w:val="0000"/>
      </w:tblPr>
      <w:tblGrid>
        <w:gridCol w:w="10772"/>
      </w:tblGrid>
      <w:tr w:rsidR="00B012A9">
        <w:tc>
          <w:tcPr>
            <w:tcW w:w="10772" w:type="dxa"/>
            <w:shd w:val="clear" w:color="auto" w:fill="C0504D"/>
          </w:tcPr>
          <w:p w:rsidR="00B012A9" w:rsidRDefault="00D664C2">
            <w:pPr>
              <w:pStyle w:val="normal"/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Chiusura della sfida. Quali attività di verifica degli apprendimenti concludono l’attività didattica:</w:t>
            </w:r>
          </w:p>
          <w:p w:rsidR="00B012A9" w:rsidRDefault="00D664C2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lastRenderedPageBreak/>
              <w:t xml:space="preserve">(indicare quali attività di sistematizzazione degli apprendimenti concludono l’attività, e quali metodologie e strumenti di valutazione formativa e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sommativa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 xml:space="preserve"> si ritiene di dover attuare per verificare e consolidare gli apprendimenti e promuovere lo svilupp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o di competenze. Tipicamente ciò avviene tramite metodi di valutazione autentica. Esplicitare le tipologie di prova.)</w:t>
            </w:r>
          </w:p>
        </w:tc>
      </w:tr>
      <w:tr w:rsidR="00B012A9">
        <w:tc>
          <w:tcPr>
            <w:tcW w:w="10772" w:type="dxa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Dopo il dibattito in classe,  per la volta successiva, ognuno dovrà consegnare all'insegnante un breve testo in cui dovrà descrivere il modo di governare opposto a quello su cui ha lavorato in gruppo. Ognuno sarà infine chiamato ad esprimere il proprio 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di vista in un breve elaborato scritto.</w:t>
            </w:r>
          </w:p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Sarà proposta una rubrica di autovalutazione all'interno del gruppo ad ogni alunno e ne sarà compilata una dall'insegnante relativa alla modalità di partecipazione all'attività in classe. </w:t>
            </w:r>
          </w:p>
        </w:tc>
      </w:tr>
    </w:tbl>
    <w:p w:rsidR="00B012A9" w:rsidRDefault="00B012A9">
      <w:pPr>
        <w:pStyle w:val="normal"/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tbl>
      <w:tblPr>
        <w:tblStyle w:val="a5"/>
        <w:tblW w:w="10772" w:type="dxa"/>
        <w:tblInd w:w="-135" w:type="dxa"/>
        <w:tblBorders>
          <w:top w:val="single" w:sz="8" w:space="0" w:color="632423"/>
          <w:left w:val="single" w:sz="8" w:space="0" w:color="632423"/>
          <w:bottom w:val="single" w:sz="8" w:space="0" w:color="632423"/>
          <w:right w:val="single" w:sz="8" w:space="0" w:color="632423"/>
          <w:insideH w:val="single" w:sz="8" w:space="0" w:color="632423"/>
          <w:insideV w:val="single" w:sz="8" w:space="0" w:color="632423"/>
        </w:tblBorders>
        <w:tblLayout w:type="fixed"/>
        <w:tblLook w:val="0000"/>
      </w:tblPr>
      <w:tblGrid>
        <w:gridCol w:w="10772"/>
      </w:tblGrid>
      <w:tr w:rsidR="00B012A9">
        <w:tc>
          <w:tcPr>
            <w:tcW w:w="10772" w:type="dxa"/>
            <w:shd w:val="clear" w:color="auto" w:fill="9BBB59"/>
          </w:tcPr>
          <w:p w:rsidR="00B012A9" w:rsidRDefault="00D664C2">
            <w:pPr>
              <w:pStyle w:val="normal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 che modo l’approccio proposto differisce da quello tradizionale?</w:t>
            </w:r>
          </w:p>
          <w:p w:rsidR="00B012A9" w:rsidRDefault="00D664C2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(indicare i vantaggi dell’approccio scelto rispetto all’approccio tradizionale e mettere in luce le differenze con particolare riferimento all’argomento curricolare scelto.)</w:t>
            </w:r>
          </w:p>
        </w:tc>
      </w:tr>
      <w:tr w:rsidR="00B012A9">
        <w:tc>
          <w:tcPr>
            <w:tcW w:w="10772" w:type="dxa"/>
            <w:shd w:val="clear" w:color="auto" w:fill="FFFFFF"/>
          </w:tcPr>
          <w:p w:rsidR="00B012A9" w:rsidRDefault="00D664C2">
            <w:pPr>
              <w:pStyle w:val="normal"/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L'approccio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arà diverso da quello tradizionale perché non si baserà sull'ascolto e sulla spiegazione, ma partendo da uno studio più autonomo a casa e dalla visione di un video si stimolerà un proprio pensiero anche sulla base delle conoscenze pregresse. Grazie al conf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ronto con i pari, sarà necessario formulare delle motivazioni in base al gruppo di appartenenza. Queste saranno spunto per considerazioni e riflessioni personali che potranno essere esternate nel lavoro finale. </w:t>
            </w:r>
          </w:p>
        </w:tc>
      </w:tr>
    </w:tbl>
    <w:p w:rsidR="00B012A9" w:rsidRDefault="00B012A9">
      <w:pPr>
        <w:pStyle w:val="normal"/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sectPr w:rsidR="00B012A9" w:rsidSect="00B012A9">
      <w:footerReference w:type="default" r:id="rId7"/>
      <w:pgSz w:w="11906" w:h="16838"/>
      <w:pgMar w:top="536" w:right="720" w:bottom="764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A9" w:rsidRDefault="00B012A9" w:rsidP="00B012A9">
      <w:r>
        <w:separator/>
      </w:r>
    </w:p>
  </w:endnote>
  <w:endnote w:type="continuationSeparator" w:id="0">
    <w:p w:rsidR="00B012A9" w:rsidRDefault="00B012A9" w:rsidP="00B0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A9" w:rsidRDefault="00B012A9">
    <w:pPr>
      <w:pStyle w:val="normal"/>
      <w:tabs>
        <w:tab w:val="center" w:pos="4819"/>
        <w:tab w:val="right" w:pos="9638"/>
      </w:tabs>
      <w:jc w:val="center"/>
    </w:pPr>
  </w:p>
  <w:p w:rsidR="00B012A9" w:rsidRDefault="00B012A9">
    <w:pPr>
      <w:pStyle w:val="normal"/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A9" w:rsidRDefault="00B012A9" w:rsidP="00B012A9">
      <w:r>
        <w:separator/>
      </w:r>
    </w:p>
  </w:footnote>
  <w:footnote w:type="continuationSeparator" w:id="0">
    <w:p w:rsidR="00B012A9" w:rsidRDefault="00B012A9" w:rsidP="00B0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2A9"/>
    <w:rsid w:val="00B012A9"/>
    <w:rsid w:val="00D6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012A9"/>
    <w:pPr>
      <w:keepNext/>
      <w:ind w:left="432" w:hanging="432"/>
      <w:jc w:val="center"/>
      <w:outlineLvl w:val="0"/>
    </w:pPr>
    <w:rPr>
      <w:b/>
      <w:sz w:val="16"/>
      <w:szCs w:val="16"/>
    </w:rPr>
  </w:style>
  <w:style w:type="paragraph" w:styleId="Titolo2">
    <w:name w:val="heading 2"/>
    <w:basedOn w:val="normal"/>
    <w:next w:val="normal"/>
    <w:rsid w:val="00B012A9"/>
    <w:pPr>
      <w:keepNext/>
      <w:ind w:right="-1134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012A9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"/>
    <w:next w:val="normal"/>
    <w:rsid w:val="00B012A9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"/>
    <w:next w:val="normal"/>
    <w:rsid w:val="00B012A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012A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012A9"/>
  </w:style>
  <w:style w:type="table" w:customStyle="1" w:styleId="TableNormal">
    <w:name w:val="Table Normal"/>
    <w:rsid w:val="00B012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012A9"/>
    <w:pPr>
      <w:jc w:val="center"/>
    </w:pPr>
    <w:rPr>
      <w:b/>
      <w:i/>
      <w:sz w:val="28"/>
      <w:szCs w:val="28"/>
    </w:rPr>
  </w:style>
  <w:style w:type="paragraph" w:styleId="Sottotitolo">
    <w:name w:val="Subtitle"/>
    <w:basedOn w:val="normal"/>
    <w:next w:val="normal"/>
    <w:rsid w:val="00B012A9"/>
    <w:pPr>
      <w:jc w:val="center"/>
    </w:pPr>
    <w:rPr>
      <w:sz w:val="28"/>
      <w:szCs w:val="28"/>
    </w:rPr>
  </w:style>
  <w:style w:type="table" w:customStyle="1" w:styleId="a">
    <w:basedOn w:val="TableNormal"/>
    <w:rsid w:val="00B012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012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012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012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012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012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012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NHICjpIFLF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2017-04-21T17:08:00Z</dcterms:created>
  <dcterms:modified xsi:type="dcterms:W3CDTF">2017-04-21T17:09:00Z</dcterms:modified>
</cp:coreProperties>
</file>